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B131" w14:textId="77777777" w:rsidR="00C726AA" w:rsidRPr="00C726AA" w:rsidRDefault="00C726AA" w:rsidP="00C726AA">
      <w:pPr>
        <w:rPr>
          <w:b/>
          <w:bCs/>
        </w:rPr>
      </w:pPr>
      <w:r w:rsidRPr="00C726AA">
        <w:rPr>
          <w:b/>
          <w:bCs/>
        </w:rPr>
        <w:t>ZADEVA: Zahteva po nujnem sestanku: Pravna praznina ob uveljavitvi ZGos-1, kršitev Resolucije o normativni dejavnosti in zahteva po šestmesečnem moratoriju</w:t>
      </w:r>
    </w:p>
    <w:p w14:paraId="71E18CE0" w14:textId="77777777" w:rsidR="00C726AA" w:rsidRPr="00C726AA" w:rsidRDefault="00C726AA" w:rsidP="00C726AA">
      <w:r w:rsidRPr="00C726AA">
        <w:t>Spoštovana ministra,</w:t>
      </w:r>
    </w:p>
    <w:p w14:paraId="74E652C0" w14:textId="77777777" w:rsidR="00C726AA" w:rsidRPr="00C726AA" w:rsidRDefault="00C726AA" w:rsidP="00C726AA">
      <w:r w:rsidRPr="00C726AA">
        <w:t xml:space="preserve">v Združenju sobodajalcev Slovenije ugotavljamo, da Republika Slovenija s 1. 1. 2026 vstopa v obdobje popolnega normativnega kaosa na področju zasebnih nastanitev. Ker sta vaši ministrstvi neposredno odgovorni za izvajanje novega Zakona o gostinstvu (ZGos-1), vas pozivamo k nujnemu sestanku, ki se mora odviti </w:t>
      </w:r>
      <w:r w:rsidRPr="00C726AA">
        <w:rPr>
          <w:b/>
          <w:bCs/>
        </w:rPr>
        <w:t>najkasneje do 7. 1. 2026</w:t>
      </w:r>
      <w:r w:rsidRPr="00C726AA">
        <w:t>.</w:t>
      </w:r>
    </w:p>
    <w:p w14:paraId="430186D0" w14:textId="77777777" w:rsidR="00C726AA" w:rsidRPr="00C726AA" w:rsidRDefault="00C726AA" w:rsidP="00C726AA">
      <w:r w:rsidRPr="00C726AA">
        <w:t>Naše zahteve in ugotovitve so naslednje:</w:t>
      </w:r>
    </w:p>
    <w:p w14:paraId="2C9DA52B" w14:textId="4908A651" w:rsidR="00C726AA" w:rsidRPr="00C726AA" w:rsidRDefault="00C726AA" w:rsidP="00C726AA">
      <w:r w:rsidRPr="00C726AA">
        <w:rPr>
          <w:b/>
          <w:bCs/>
        </w:rPr>
        <w:t>1. Pravni vakuum: Neobstoj podzakonskih aktov za tehnično izvajanje zakona</w:t>
      </w:r>
      <w:r w:rsidRPr="00C726AA">
        <w:t xml:space="preserve"> </w:t>
      </w:r>
      <w:r>
        <w:br/>
      </w:r>
      <w:r w:rsidRPr="00C726AA">
        <w:t xml:space="preserve">Z dnem 1. 1. 2026 se v skladu s podatki portala PISRS (id: PRAV12989) preneha uporabljati </w:t>
      </w:r>
      <w:r w:rsidRPr="00C726AA">
        <w:rPr>
          <w:i/>
          <w:iCs/>
        </w:rPr>
        <w:t>Pravilnik o minimalnih tehničnih pogojih in o obsegu storitev za opravljanje gostinske dejavnosti</w:t>
      </w:r>
      <w:r w:rsidRPr="00C726AA">
        <w:t>. Novi pravilnik, ki bi</w:t>
      </w:r>
      <w:r>
        <w:t>, med drugim,</w:t>
      </w:r>
      <w:r w:rsidRPr="00C726AA">
        <w:t xml:space="preserve"> moral po ZGos-1 predpisati</w:t>
      </w:r>
      <w:r>
        <w:t xml:space="preserve"> tudi</w:t>
      </w:r>
      <w:r w:rsidRPr="00C726AA">
        <w:t xml:space="preserve"> standardizirane nalepke za označevanje obratov v večstanovanjskih stavbah, sploh še ni v javni obravnavi.</w:t>
      </w:r>
    </w:p>
    <w:p w14:paraId="36D620AA" w14:textId="2978AC52" w:rsidR="00C726AA" w:rsidRDefault="00C726AA" w:rsidP="00C726AA">
      <w:r>
        <w:t xml:space="preserve">ZGos-1 s 1.1.2026 </w:t>
      </w:r>
      <w:r w:rsidRPr="00C726AA">
        <w:t>zahteva označevanje</w:t>
      </w:r>
      <w:r>
        <w:t xml:space="preserve"> obratov v večstanovanjskih stavbah</w:t>
      </w:r>
      <w:r w:rsidRPr="00C726AA">
        <w:t xml:space="preserve"> z nalepkami, ki jih normativno sploh še ni opredelila. </w:t>
      </w:r>
      <w:r>
        <w:t>Ponudniki zahtevajo jasno zagotovilo, da za to ne bodo deležni kazenskih sankcij, ki lahko segajo do 6.000 EUR.</w:t>
      </w:r>
    </w:p>
    <w:p w14:paraId="63ADB8C8" w14:textId="77777777" w:rsidR="00F56DA0" w:rsidRDefault="00F56DA0" w:rsidP="00C726AA">
      <w:r>
        <w:t xml:space="preserve">Nastali pravni vakuum tako ni zgolj administrativna nedoslednost, ampak tudi protipraven poseg v svobodno gospodarsko pobudo, saj  </w:t>
      </w:r>
      <w:r w:rsidRPr="00F56DA0">
        <w:t xml:space="preserve">ZGos-1 v </w:t>
      </w:r>
      <w:r w:rsidRPr="00F56DA0">
        <w:rPr>
          <w:b/>
          <w:bCs/>
        </w:rPr>
        <w:t>11. in 23. členu</w:t>
      </w:r>
      <w:r w:rsidRPr="00F56DA0">
        <w:t xml:space="preserve"> nalaga ponudnikom izpolnjevanje pogojev in označevanje obratov, vendar hkrati v teh istih členih pooblastilo za določitev teh standardov predaja ministru. Ker minister podzakonskih aktov ni sprejel, se je država znašla v situaciji, ko od državljanov zahteva izpolnjevanje 'nevidnih' in neobstoječih pravil. S 1. januarjem država novim ponudnikom dejansko </w:t>
      </w:r>
      <w:r w:rsidRPr="00F56DA0">
        <w:rPr>
          <w:b/>
          <w:bCs/>
        </w:rPr>
        <w:t>onemogoča vpis v RNO</w:t>
      </w:r>
      <w:r w:rsidRPr="00F56DA0">
        <w:t>, saj ne morejo potrditi skladnosti s pravilnikom, ki ne obstaja.</w:t>
      </w:r>
    </w:p>
    <w:p w14:paraId="4FAFDC85" w14:textId="7CAF8402" w:rsidR="00C726AA" w:rsidRPr="00C726AA" w:rsidRDefault="00C726AA" w:rsidP="00C726AA">
      <w:r w:rsidRPr="00C726AA">
        <w:rPr>
          <w:b/>
          <w:bCs/>
        </w:rPr>
        <w:t>2. Pravna utemeljitev kršitev pri vključevanju deležnikov (Resolucija o normativni dejavnosti)</w:t>
      </w:r>
      <w:r w:rsidRPr="00C726AA">
        <w:t xml:space="preserve"> </w:t>
      </w:r>
      <w:r w:rsidR="00354DED">
        <w:br/>
      </w:r>
      <w:r w:rsidRPr="00C726AA">
        <w:t>Ugotavljamo</w:t>
      </w:r>
      <w:r w:rsidR="00F56DA0">
        <w:t xml:space="preserve"> tudi</w:t>
      </w:r>
      <w:r w:rsidRPr="00C726AA">
        <w:t>, da MGTŠ pri pripravi podzakonskih aktov</w:t>
      </w:r>
      <w:r w:rsidR="00354DED">
        <w:t xml:space="preserve">, </w:t>
      </w:r>
      <w:r w:rsidRPr="00C726AA">
        <w:t>zlasti Pravilnika o kategorizaciji</w:t>
      </w:r>
      <w:r w:rsidR="00354DED">
        <w:t>,</w:t>
      </w:r>
      <w:r w:rsidRPr="00C726AA">
        <w:t xml:space="preserve"> izvaja selektiven "dvotirni sistem",</w:t>
      </w:r>
      <w:r w:rsidR="00F56DA0">
        <w:t xml:space="preserve"> saj je nekatere izbrane deležnike z vsebino priprave podzakonskih aktov seznanil že pred objavo in javno razpravo na portalu </w:t>
      </w:r>
      <w:proofErr w:type="spellStart"/>
      <w:r w:rsidR="00F56DA0">
        <w:t>eDemokracija</w:t>
      </w:r>
      <w:proofErr w:type="spellEnd"/>
      <w:r w:rsidR="00F56DA0">
        <w:t xml:space="preserve"> in jim dal drugačen časovni razpon za oddajo pripomb od javno objavljenega, iz tega pa očitno namerno izločil</w:t>
      </w:r>
      <w:r w:rsidRPr="00C726AA">
        <w:t xml:space="preserve"> </w:t>
      </w:r>
      <w:r w:rsidRPr="00C726AA">
        <w:rPr>
          <w:b/>
          <w:bCs/>
        </w:rPr>
        <w:t>predstavnik</w:t>
      </w:r>
      <w:r w:rsidR="00F56DA0">
        <w:rPr>
          <w:b/>
          <w:bCs/>
        </w:rPr>
        <w:t>e</w:t>
      </w:r>
      <w:r w:rsidRPr="00C726AA">
        <w:rPr>
          <w:b/>
          <w:bCs/>
        </w:rPr>
        <w:t xml:space="preserve"> pretežnega dela ponudnikov zasebnih nastanitev</w:t>
      </w:r>
      <w:r w:rsidRPr="00C726AA">
        <w:t>. To ravnanje je v neposrednem nasprotju z:</w:t>
      </w:r>
    </w:p>
    <w:p w14:paraId="28ABAE17" w14:textId="77777777" w:rsidR="00C726AA" w:rsidRPr="00C726AA" w:rsidRDefault="00C726AA" w:rsidP="00C726AA">
      <w:pPr>
        <w:numPr>
          <w:ilvl w:val="0"/>
          <w:numId w:val="2"/>
        </w:numPr>
      </w:pPr>
      <w:r w:rsidRPr="00C726AA">
        <w:rPr>
          <w:b/>
          <w:bCs/>
        </w:rPr>
        <w:t>Resolucijo o normativni dejavnosti (</w:t>
      </w:r>
      <w:proofErr w:type="spellStart"/>
      <w:r w:rsidRPr="00C726AA">
        <w:rPr>
          <w:b/>
          <w:bCs/>
        </w:rPr>
        <w:t>ReND</w:t>
      </w:r>
      <w:proofErr w:type="spellEnd"/>
      <w:r w:rsidRPr="00C726AA">
        <w:rPr>
          <w:b/>
          <w:bCs/>
        </w:rPr>
        <w:t>):</w:t>
      </w:r>
      <w:r w:rsidRPr="00C726AA">
        <w:t xml:space="preserve"> Ta v točkah 10 in 11 določa obveznost organov, da v pripravo predpisov vključijo zainteresirano javnost že v zgodnjih fazah. Načelo sodelovanja javnosti ne dovoljuje arbitrarne izbire </w:t>
      </w:r>
      <w:r w:rsidRPr="00C726AA">
        <w:lastRenderedPageBreak/>
        <w:t>deležnikov po meri ministrstva, temveč zahteva transparentno vključitev vseh tistih, na katere predpis neposredno vpliva.</w:t>
      </w:r>
    </w:p>
    <w:p w14:paraId="5D425EAD" w14:textId="26303955" w:rsidR="00C726AA" w:rsidRPr="00C726AA" w:rsidRDefault="00C726AA" w:rsidP="00C726AA">
      <w:pPr>
        <w:numPr>
          <w:ilvl w:val="0"/>
          <w:numId w:val="2"/>
        </w:numPr>
      </w:pPr>
      <w:r w:rsidRPr="00C726AA">
        <w:rPr>
          <w:b/>
          <w:bCs/>
        </w:rPr>
        <w:t>Statusom relevantnih deležnikov:</w:t>
      </w:r>
      <w:r w:rsidRPr="00C726AA">
        <w:t xml:space="preserve"> </w:t>
      </w:r>
      <w:r w:rsidR="007313EB">
        <w:t xml:space="preserve">Te organizacije so </w:t>
      </w:r>
      <w:r w:rsidRPr="00C726AA">
        <w:t>bil</w:t>
      </w:r>
      <w:r w:rsidR="007313EB">
        <w:t>e</w:t>
      </w:r>
      <w:r w:rsidRPr="00C726AA">
        <w:t xml:space="preserve"> v postopku sprejemanja ZGos-1 v Državnem zboru in Državnem svetu prepoznan</w:t>
      </w:r>
      <w:r w:rsidR="007313EB">
        <w:t>e</w:t>
      </w:r>
      <w:r w:rsidRPr="00C726AA">
        <w:t xml:space="preserve"> kot ključen strokovni sogovornik. Ignoriranje naše</w:t>
      </w:r>
      <w:r w:rsidR="007313EB">
        <w:t xml:space="preserve"> in drugih organizacij</w:t>
      </w:r>
      <w:r w:rsidRPr="00C726AA">
        <w:t xml:space="preserve"> v fazi </w:t>
      </w:r>
      <w:r w:rsidR="007313EB">
        <w:t xml:space="preserve">priprave </w:t>
      </w:r>
      <w:r w:rsidRPr="00C726AA">
        <w:t>podzakonskih aktov pomeni kršitev načela legitimnega pričakovanja in demokratičnega standarda priprave predpisov.</w:t>
      </w:r>
    </w:p>
    <w:p w14:paraId="56370723" w14:textId="77777777" w:rsidR="00C726AA" w:rsidRPr="00C726AA" w:rsidRDefault="00C726AA" w:rsidP="00C726AA">
      <w:pPr>
        <w:numPr>
          <w:ilvl w:val="0"/>
          <w:numId w:val="2"/>
        </w:numPr>
      </w:pPr>
      <w:r w:rsidRPr="00C726AA">
        <w:rPr>
          <w:b/>
          <w:bCs/>
        </w:rPr>
        <w:t>Zahteva:</w:t>
      </w:r>
      <w:r w:rsidRPr="00C726AA">
        <w:t xml:space="preserve"> Zahtevamo takojšnjo enakopravno vključitev v vse delovne skupine in usklajevalne procese.</w:t>
      </w:r>
    </w:p>
    <w:p w14:paraId="18199FF6" w14:textId="76FD88CD" w:rsidR="00C726AA" w:rsidRPr="00C726AA" w:rsidRDefault="00C726AA" w:rsidP="00C726AA">
      <w:r w:rsidRPr="00C726AA">
        <w:rPr>
          <w:b/>
          <w:bCs/>
        </w:rPr>
        <w:t>3. ZAHTEVA PO ŠESTMESEČNEM MORATORIJU NA SANKCIJ</w:t>
      </w:r>
      <w:r w:rsidR="007313EB">
        <w:rPr>
          <w:b/>
          <w:bCs/>
        </w:rPr>
        <w:t>E po ZGos-1</w:t>
      </w:r>
      <w:r w:rsidR="00354DED">
        <w:br/>
      </w:r>
      <w:r w:rsidRPr="00C726AA">
        <w:t>Zaradi ugotovljen</w:t>
      </w:r>
      <w:r w:rsidR="007313EB">
        <w:t>i</w:t>
      </w:r>
      <w:r w:rsidRPr="00C726AA">
        <w:t xml:space="preserve"> pravn</w:t>
      </w:r>
      <w:r w:rsidR="007313EB">
        <w:t>ih</w:t>
      </w:r>
      <w:r w:rsidRPr="00C726AA">
        <w:t xml:space="preserve"> praznin</w:t>
      </w:r>
      <w:r w:rsidR="007313EB">
        <w:t>, izkazane</w:t>
      </w:r>
      <w:r w:rsidRPr="00C726AA">
        <w:t xml:space="preserve"> </w:t>
      </w:r>
      <w:r w:rsidR="007313EB">
        <w:t>administrativne</w:t>
      </w:r>
      <w:r w:rsidRPr="00C726AA">
        <w:t xml:space="preserve"> nepripravljenosti </w:t>
      </w:r>
      <w:r w:rsidR="007313EB">
        <w:t>državnih organov na izvajanje zakona in podzakonskih aktov ter številnih odprtih vprašanj</w:t>
      </w:r>
      <w:r w:rsidRPr="00C726AA">
        <w:t xml:space="preserve"> zahtevamo:</w:t>
      </w:r>
    </w:p>
    <w:p w14:paraId="2A1A5678" w14:textId="70F57929" w:rsidR="00C726AA" w:rsidRPr="00C726AA" w:rsidRDefault="00C726AA" w:rsidP="00C726AA">
      <w:pPr>
        <w:numPr>
          <w:ilvl w:val="0"/>
          <w:numId w:val="3"/>
        </w:numPr>
      </w:pPr>
      <w:r w:rsidRPr="00C726AA">
        <w:rPr>
          <w:b/>
          <w:bCs/>
        </w:rPr>
        <w:t>Uvedbo</w:t>
      </w:r>
      <w:r w:rsidR="007313EB">
        <w:rPr>
          <w:b/>
          <w:bCs/>
        </w:rPr>
        <w:t xml:space="preserve"> vsaj</w:t>
      </w:r>
      <w:r w:rsidRPr="00C726AA">
        <w:rPr>
          <w:b/>
          <w:bCs/>
        </w:rPr>
        <w:t xml:space="preserve"> šestmesečnega moratorija na izvajanje vseh novih </w:t>
      </w:r>
      <w:proofErr w:type="spellStart"/>
      <w:r w:rsidRPr="00C726AA">
        <w:rPr>
          <w:b/>
          <w:bCs/>
        </w:rPr>
        <w:t>sankcijskih</w:t>
      </w:r>
      <w:proofErr w:type="spellEnd"/>
      <w:r w:rsidRPr="00C726AA">
        <w:rPr>
          <w:b/>
          <w:bCs/>
        </w:rPr>
        <w:t xml:space="preserve"> določb ZGos-1.</w:t>
      </w:r>
    </w:p>
    <w:p w14:paraId="4F73F29D" w14:textId="3B2EC390" w:rsidR="00C726AA" w:rsidRPr="00C726AA" w:rsidRDefault="00C726AA" w:rsidP="00C726AA">
      <w:pPr>
        <w:numPr>
          <w:ilvl w:val="0"/>
          <w:numId w:val="3"/>
        </w:numPr>
      </w:pPr>
      <w:r w:rsidRPr="00C726AA">
        <w:t xml:space="preserve">Moratorij je nujen, da se organom omogoči sprejetje delujočih predpisov v skladu z </w:t>
      </w:r>
      <w:proofErr w:type="spellStart"/>
      <w:r w:rsidRPr="00C726AA">
        <w:t>ReND</w:t>
      </w:r>
      <w:proofErr w:type="spellEnd"/>
      <w:r w:rsidRPr="00C726AA">
        <w:t xml:space="preserve">, </w:t>
      </w:r>
      <w:r w:rsidR="007313EB">
        <w:t xml:space="preserve">pristojnim organom in </w:t>
      </w:r>
      <w:r w:rsidRPr="00C726AA">
        <w:t xml:space="preserve">ponudnikom dejavnosti pa razumen čas za prilagoditev. </w:t>
      </w:r>
      <w:r w:rsidR="007313EB">
        <w:t>Dušenje dejavnosti ponudnikov zasebnih nastanitev z negotovostjo</w:t>
      </w:r>
      <w:r w:rsidRPr="00C726AA">
        <w:t xml:space="preserve"> zaradi</w:t>
      </w:r>
      <w:r w:rsidR="007313EB">
        <w:t xml:space="preserve"> neživljenjskih rokov in</w:t>
      </w:r>
      <w:r w:rsidRPr="00C726AA">
        <w:t xml:space="preserve"> normativn</w:t>
      </w:r>
      <w:r w:rsidR="007313EB">
        <w:t>ih</w:t>
      </w:r>
      <w:r w:rsidRPr="00C726AA">
        <w:t xml:space="preserve"> zamud ministrstev je</w:t>
      </w:r>
      <w:r w:rsidR="00550E74">
        <w:t xml:space="preserve"> nesprejemljivo</w:t>
      </w:r>
      <w:r w:rsidRPr="00C726AA">
        <w:t xml:space="preserve"> </w:t>
      </w:r>
      <w:r w:rsidR="00550E74">
        <w:t xml:space="preserve">tako iz </w:t>
      </w:r>
      <w:r w:rsidRPr="00C726AA">
        <w:t>pravn</w:t>
      </w:r>
      <w:r w:rsidR="00550E74">
        <w:t>ega kot tudi</w:t>
      </w:r>
      <w:r w:rsidRPr="00C726AA">
        <w:t xml:space="preserve"> etičn</w:t>
      </w:r>
      <w:r w:rsidR="00550E74">
        <w:t>ega</w:t>
      </w:r>
      <w:r w:rsidRPr="00C726AA">
        <w:t xml:space="preserve"> </w:t>
      </w:r>
      <w:r w:rsidR="00550E74">
        <w:t>vidika</w:t>
      </w:r>
      <w:r w:rsidRPr="00C726AA">
        <w:t>.</w:t>
      </w:r>
    </w:p>
    <w:p w14:paraId="2E2F53A4" w14:textId="7751156A" w:rsidR="00C726AA" w:rsidRPr="00C726AA" w:rsidRDefault="00C726AA" w:rsidP="00C726AA">
      <w:r w:rsidRPr="00C726AA">
        <w:rPr>
          <w:b/>
          <w:bCs/>
        </w:rPr>
        <w:t xml:space="preserve">4. </w:t>
      </w:r>
      <w:proofErr w:type="spellStart"/>
      <w:r w:rsidRPr="00C726AA">
        <w:rPr>
          <w:b/>
          <w:bCs/>
        </w:rPr>
        <w:t>Časovnica</w:t>
      </w:r>
      <w:proofErr w:type="spellEnd"/>
      <w:r w:rsidRPr="00C726AA">
        <w:rPr>
          <w:b/>
          <w:bCs/>
        </w:rPr>
        <w:t xml:space="preserve"> posodobitve Registra nastanitvenih obratov (RNO)</w:t>
      </w:r>
      <w:r w:rsidRPr="00C726AA">
        <w:t xml:space="preserve"> </w:t>
      </w:r>
      <w:r w:rsidR="00354DED">
        <w:br/>
      </w:r>
      <w:r w:rsidRPr="00C726AA">
        <w:t>Zahtevamo</w:t>
      </w:r>
      <w:r w:rsidR="007313EB">
        <w:t xml:space="preserve"> jasna</w:t>
      </w:r>
      <w:r w:rsidRPr="00C726AA">
        <w:t xml:space="preserve"> pojasnila glede</w:t>
      </w:r>
      <w:r w:rsidR="007313EB">
        <w:t xml:space="preserve"> </w:t>
      </w:r>
      <w:proofErr w:type="spellStart"/>
      <w:r w:rsidR="007313EB">
        <w:t>časovnice</w:t>
      </w:r>
      <w:proofErr w:type="spellEnd"/>
      <w:r w:rsidR="007313EB">
        <w:t xml:space="preserve"> in okvirov</w:t>
      </w:r>
      <w:r w:rsidRPr="00C726AA">
        <w:t xml:space="preserve"> napovedan</w:t>
      </w:r>
      <w:r w:rsidR="007313EB">
        <w:t>ih</w:t>
      </w:r>
      <w:r w:rsidRPr="00C726AA">
        <w:t xml:space="preserve"> posodobit</w:t>
      </w:r>
      <w:r w:rsidR="007313EB">
        <w:t>ev</w:t>
      </w:r>
      <w:r w:rsidRPr="00C726AA">
        <w:t xml:space="preserve"> RNO</w:t>
      </w:r>
      <w:r w:rsidR="007313EB">
        <w:t xml:space="preserve">. Prva je napovedana že za 1.2.2026, vendar njeni okviri še vedno niso jasni. </w:t>
      </w:r>
      <w:r w:rsidRPr="00C726AA">
        <w:t>Ponudniki potrebujejo jasne informacije in zagotovilo, da digitalni sistemi ne bodo</w:t>
      </w:r>
      <w:r w:rsidR="00354DED">
        <w:t xml:space="preserve"> ovirali in</w:t>
      </w:r>
      <w:r w:rsidRPr="00C726AA">
        <w:t xml:space="preserve"> onemogoč</w:t>
      </w:r>
      <w:r w:rsidR="00354DED">
        <w:t>a</w:t>
      </w:r>
      <w:r w:rsidRPr="00C726AA">
        <w:t>li tekočega opravljanja dejavnosti.</w:t>
      </w:r>
    </w:p>
    <w:p w14:paraId="68A895EA" w14:textId="18DB6BF3" w:rsidR="00C726AA" w:rsidRPr="00C726AA" w:rsidRDefault="00C726AA" w:rsidP="00C726AA">
      <w:r w:rsidRPr="00C726AA">
        <w:rPr>
          <w:b/>
          <w:bCs/>
        </w:rPr>
        <w:t>5. Sistemska neskladnost 23. člena z Uredbo (EU) 2024/1028</w:t>
      </w:r>
      <w:r w:rsidRPr="00C726AA">
        <w:t xml:space="preserve"> </w:t>
      </w:r>
      <w:r w:rsidR="007313EB">
        <w:t>Kot že vseskozi o</w:t>
      </w:r>
      <w:r w:rsidRPr="00C726AA">
        <w:t>pozarjamo</w:t>
      </w:r>
      <w:r w:rsidR="00354DED">
        <w:t>,</w:t>
      </w:r>
      <w:r w:rsidR="007313EB">
        <w:t xml:space="preserve"> še vedno ostaja nenaslovljena</w:t>
      </w:r>
      <w:r w:rsidRPr="00C726AA">
        <w:t xml:space="preserve"> kritičn</w:t>
      </w:r>
      <w:r w:rsidR="007313EB">
        <w:t>a</w:t>
      </w:r>
      <w:r w:rsidRPr="00C726AA">
        <w:t xml:space="preserve"> neskladnost ZGos-1 </w:t>
      </w:r>
      <w:r w:rsidR="00354DED">
        <w:t>s krov evropsko regulacijo dejavnosti,</w:t>
      </w:r>
      <w:r w:rsidRPr="00C726AA">
        <w:t xml:space="preserve"> </w:t>
      </w:r>
      <w:r w:rsidRPr="00C726AA">
        <w:rPr>
          <w:b/>
          <w:bCs/>
        </w:rPr>
        <w:t>Uredbo (EU) 2024/1028</w:t>
      </w:r>
      <w:r w:rsidR="00354DED">
        <w:t>,</w:t>
      </w:r>
      <w:r w:rsidRPr="00C726AA">
        <w:t xml:space="preserve"> </w:t>
      </w:r>
      <w:r w:rsidR="00354DED">
        <w:t>k</w:t>
      </w:r>
      <w:r w:rsidR="007313EB">
        <w:t xml:space="preserve">er ZGos-1 zahteva </w:t>
      </w:r>
      <w:r w:rsidRPr="00C726AA">
        <w:t xml:space="preserve">identifikacijo na ravni </w:t>
      </w:r>
      <w:r w:rsidRPr="00C726AA">
        <w:rPr>
          <w:i/>
          <w:iCs/>
        </w:rPr>
        <w:t>gostinskega obrata</w:t>
      </w:r>
      <w:r w:rsidRPr="00C726AA">
        <w:t xml:space="preserve">, medtem ko krovna evropska uredba zahteva registracijo na ravni </w:t>
      </w:r>
      <w:r w:rsidRPr="00C726AA">
        <w:rPr>
          <w:i/>
          <w:iCs/>
        </w:rPr>
        <w:t>posamezne enote (</w:t>
      </w:r>
      <w:proofErr w:type="spellStart"/>
      <w:r w:rsidRPr="00C726AA">
        <w:rPr>
          <w:i/>
          <w:iCs/>
        </w:rPr>
        <w:t>Unit</w:t>
      </w:r>
      <w:proofErr w:type="spellEnd"/>
      <w:r w:rsidRPr="00C726AA">
        <w:rPr>
          <w:i/>
          <w:iCs/>
        </w:rPr>
        <w:t>)</w:t>
      </w:r>
      <w:r w:rsidRPr="00C726AA">
        <w:t xml:space="preserve">. </w:t>
      </w:r>
      <w:r w:rsidR="00354DED">
        <w:t>Brez ustrezne uskladitve od 20.</w:t>
      </w:r>
      <w:r w:rsidRPr="00C726AA">
        <w:t xml:space="preserve"> maja 2026 več kot tretjini slovenskih ponudnikov</w:t>
      </w:r>
      <w:r w:rsidR="00354DED">
        <w:t xml:space="preserve"> grozi, da jim</w:t>
      </w:r>
      <w:r w:rsidR="00E0267C">
        <w:t xml:space="preserve"> bo</w:t>
      </w:r>
      <w:r w:rsidRPr="00C726AA">
        <w:t xml:space="preserve"> onemogočeno oglaševanje na globalnih </w:t>
      </w:r>
      <w:r w:rsidR="00354DED">
        <w:t xml:space="preserve">rezervacijskih </w:t>
      </w:r>
      <w:r w:rsidRPr="00C726AA">
        <w:t>platformah</w:t>
      </w:r>
      <w:r w:rsidR="00354DED">
        <w:t>.</w:t>
      </w:r>
    </w:p>
    <w:p w14:paraId="268C1BF5" w14:textId="3B2BE5B5" w:rsidR="00C726AA" w:rsidRPr="00C726AA" w:rsidRDefault="00354DED" w:rsidP="00C726AA">
      <w:r>
        <w:t>Ob tem pričakujemo, da nam na sestanek vezana</w:t>
      </w:r>
      <w:r w:rsidR="00C726AA" w:rsidRPr="00C726AA">
        <w:t xml:space="preserve"> gradiva posredujete pisno vnaprej, sestanek pa skličete v zahtevanem roku.</w:t>
      </w:r>
    </w:p>
    <w:p w14:paraId="681959B2" w14:textId="77777777" w:rsidR="00C726AA" w:rsidRPr="00C726AA" w:rsidRDefault="00C726AA" w:rsidP="00C726AA">
      <w:r w:rsidRPr="00C726AA">
        <w:t>S spoštovanjem,</w:t>
      </w:r>
    </w:p>
    <w:p w14:paraId="2C3B0909" w14:textId="2E277712" w:rsidR="00C726AA" w:rsidRDefault="00C726AA"/>
    <w:sectPr w:rsidR="00C72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62659"/>
    <w:multiLevelType w:val="multilevel"/>
    <w:tmpl w:val="D6E2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B2B65"/>
    <w:multiLevelType w:val="multilevel"/>
    <w:tmpl w:val="EAD0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0710D"/>
    <w:multiLevelType w:val="multilevel"/>
    <w:tmpl w:val="BD40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319611">
    <w:abstractNumId w:val="0"/>
  </w:num>
  <w:num w:numId="2" w16cid:durableId="478379221">
    <w:abstractNumId w:val="1"/>
  </w:num>
  <w:num w:numId="3" w16cid:durableId="742607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AA"/>
    <w:rsid w:val="00354DED"/>
    <w:rsid w:val="0051473D"/>
    <w:rsid w:val="00550E74"/>
    <w:rsid w:val="00566345"/>
    <w:rsid w:val="007313EB"/>
    <w:rsid w:val="00C726AA"/>
    <w:rsid w:val="00E0267C"/>
    <w:rsid w:val="00EF06D9"/>
    <w:rsid w:val="00F5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19DD"/>
  <w15:chartTrackingRefBased/>
  <w15:docId w15:val="{30996D1A-2E8D-4EE5-BEDE-7523BBA1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72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72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72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72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72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72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72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72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72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72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72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72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726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726A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726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726A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726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726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72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72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72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72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72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726A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726A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726A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72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726A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726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 Cotič</dc:creator>
  <cp:keywords/>
  <dc:description/>
  <cp:lastModifiedBy>katja rezman</cp:lastModifiedBy>
  <cp:revision>2</cp:revision>
  <dcterms:created xsi:type="dcterms:W3CDTF">2025-12-29T09:49:00Z</dcterms:created>
  <dcterms:modified xsi:type="dcterms:W3CDTF">2025-12-29T09:49:00Z</dcterms:modified>
</cp:coreProperties>
</file>